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附件2</w:t>
      </w:r>
    </w:p>
    <w:p>
      <w:pPr>
        <w:spacing w:line="590" w:lineRule="exact"/>
        <w:rPr>
          <w:rFonts w:ascii="仿宋_GB2312" w:eastAsia="仿宋_GB2312"/>
          <w:sz w:val="32"/>
          <w:szCs w:val="32"/>
        </w:rPr>
      </w:pPr>
    </w:p>
    <w:p>
      <w:pPr>
        <w:spacing w:line="59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重点产业布局及示意图</w:t>
      </w:r>
      <w:bookmarkEnd w:id="0"/>
    </w:p>
    <w:p>
      <w:pPr>
        <w:spacing w:line="590" w:lineRule="exact"/>
        <w:rPr>
          <w:rFonts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一、绿色农产品深加工重点领域布局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（一）现代粮油加工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大米加工。重点布局五常绿色食品产业功能区、方正富硒食品产业功能区、通河优质稻米与山林食品加工产业功能区、延寿食品及亚麻功能区，重点发展优质大米、有机米、富硒米、米制食品以及面向母婴等特殊消费群体的专用米。</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2.玉米加工。重点布局在巴彦粮食深加工产业功能区、双城食品综合加工产业功能区、宾县农副产品加工产业功能区、依兰健康食品饮品产业功能区，重点发展高附加值的玉米深加工产品。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3.大豆加工。重点布局在平房、香坊高品质食品产业功能区以及巴彦粮食深加工产业功能区，重点打造非转基因植物油品牌。</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4.富硒食品。重点布局在方正富硒食品产业功能区，重点发展富硒大米、富硒大豆、富硒玉米、富硒马铃薯等产品及保健食品。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（二）高品质饮品加工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1.乳制品加工。重点布局双城食品综合加工产业功能区、平房高品质食品产业功能区、尚志绿色食品产业功能区，重点发展高端乳制品、液态乳制品。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2.饮品加工。重点布局在平房高品质食品产业功能区、阿城绿色食品产业功能区、双城食品综合加工产业功能区、尚志绿色食品产业功能区、依兰健康食品饮品产业功能区，重点发展酒类、特色功能性饮品。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（三）高品质畜牧加工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重点布局在平房高品质食品产业功能区、香坊高品质食品产业功能区、巴彦生猪产业化功能区、宾县农副产品加工产业功能区、木兰农副产品加工产业功能区，重点发展中式肉制品和畜牧高端衍生产品。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（四）山林特产品加工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重点布局在尚志绿色食品产业功能区、通河山林食品加工产业功能区、方正富硒食品产业功能区，重点发展黑木耳等食用菌精深加工、林果精深加工、山野菜精深加工、山特产品加工。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二、先进装备制造产业重点领域布局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（一）航空航天</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飞机制造。重点布局在平房高端装备产业功能区。该功能区是我国唯一集直升机、轻型多用途通用飞机和支线飞机于一体的飞机自主研制生产基地和飞机发动机、航空传动系统的研制生产基地，重点发展直升机、固定翼飞机和飞机关键零部件。</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2.飞机拆解循环利用。重点布局在临空经济区，重点发展废旧飞机精细化拆解及回收再利用。</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卫星制造及应用按照“一区三园”产业发展格局，在哈尔滨新区江北一体化发展区规划建设卫星制造与应用产业园和拓展地理信息产业园，在哈尔滨新区江南政策协同区（平房区）规划建设北斗导航产业园，重点发展卫星制造和应用，建设卫星应用技术产业集群。</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（二）清洁能源及环保装备</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1.发电装备。布局在香坊和平房高端装备产业功能区，重点发展火电、水电、核电装备及关键配套部件。</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2.燃气轮机。布局在松北区高新技术产业功能区，重点发展中小型燃气轮机及关键配套部件。</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3.环保装备。布局在松北区高新技术产业功能区，重点发展环保装备研发及应用。</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（三）新能源汽车</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重点布局在平房高端装备产业功能区，重点发展新能源乘用车、客车及配套动力电池。</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（四）机器人</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在平房区建设机器人智能装备产业园及机器人小镇。重点发展空间机器人、工业机器人、医疗机器人、智能服务机器人、微纳操作机器人、智能水下机器人以及控制器、传感器、伺服电机等关键部件。在松北区重点发展机器人相关的智能制造、人工智能的高端研发服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（五）冰雪装备制造</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重点布局在香坊冰雪装备产业园。重点发展滑雪、滑冰运动装备、冰雪场地装备及其他冰雪装备、冰雪运动服饰。</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 现代生物医药产业重点领域布局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（一）生物技术药物、化学药物、生物医学工程</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松北生物医药产业功能区，该功能区中利民生物医药产业园区是国家生物医药产业集聚发展试点核心区，是全省唯一的省级医药产业集聚区。重点发展新型抗体、蛋白及多肽生物药、大品种化学药、抗肿瘤药物、心脑血管药物、生物诊断设备与试剂和高端医疗设备。</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（二）现代中药</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重点布局在松北生物医药产业功能区、五常现代中药产业功能区、尚志北药产业功能区，重点发展中药新药和北药产品。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四、特色文化和旅游产业带布局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（一）沿松花江旅游景观带</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松北、呼兰、道里、道外等沿松花江区域。松花江南岸主要布局文化游、休闲游、购物游，松花江北岸主要布局冰雪游、湿地游、体验游。在松花江中上游重点建设中央大街、中华巴洛克、太阳岛、融创文旅城、哈尔滨大剧院等旅游景点，在松花江下游重点建设河口湿地、滨江湿地、冰雪观光体育等旅游景点。</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（二）哈亚人文生态旅游带</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亚布力、香坊、阿城、尚志等区域，打造人文、生态旅游带及冰雪体验带，重点建设尚志帽儿山太和水镇、香坊向阳旅游特色小镇，提升伏尔加庄园及金龙山公园服务功能，开发阿城金源特色文化，发展尚志冰雪休闲体验游。</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五、信息产业重点领域布局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（一）云计算、大数据及智慧城市应用</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平房“大智移云”新一代信息技术产业功能区和松北高新技术产业功能区，位于此两个功能区的“中国云谷”和“科技创新城”聚集大批云计算和大数据企业，云计算存储能力全国领先。重点发展基础设施服务（IaaS）、平台服务(PaaS)、研发和软件服务(SaaS)云计算，大数据采集、存储与分析、大数据交易流通、电子商务服务和对俄跨境电子商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（二）电子信息制造</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平房“大智移云”新一代信息技术产业功能区，重点发展电线电缆、汽车电子、传感器、物联网、锂电池、光学器件等领域；在松北高新技术产业功能区，重点布局国产自主可控芯片研发和制造，以及自主可控的商用服务器、台式计算机、涉密计算机等终端产品设计与总装。</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（三）光电产业</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重点布局在松北高新技术产业功能区。重点发展光机电一体化设计孵化，以及光学、激光器件、激光切割、激光通讯等设备的研发产业化。</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六、新材料产业重点领域布局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（一）高端金属材料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平房高端材料产业功能区、松北高新技术产业功能区。高端材料产业功能区中规划建设了龙江（国际）铝镁产业园，重点发展铝镁合金产业，建设国家铝镁合金新材料产业化基地。高新技术产业功能区，依托钛合金产业园，面向航天、航空、船舶、化工、能源、医疗等市场，重点发展钛合金产业，打造中国“钛谷”。</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（二）高端复合材料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重点布局在南岗新材料产业功能区和平房高端材料产业功能区。南岗新材料产业功能区，重点发展碳纤维材料产业；平房高端材料产业功能区，重点发展先进复合材料和先进高分子材料。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（三）高端石墨材料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重点布局在松北高新技术产业功能区和南岗新材料产业功能区。重点发展以石墨烯产品为代表的高端石墨产业。</w:t>
      </w: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widowControl/>
        <w:jc w:val="center"/>
        <w:rPr>
          <w:rFonts w:ascii="仿宋_GB2312" w:hAnsi="Calibri"/>
          <w:color w:val="000000"/>
        </w:rPr>
      </w:pPr>
      <w:r>
        <w:fldChar w:fldCharType="begin"/>
      </w:r>
      <w:r>
        <w:instrText xml:space="preserve"> INCLUDEPICTURE "C:\\DOCUME~1\\ADMINI~1\\LOCALS~1\\Temp\\ksohtml\\wps1D.tmp.png" \* MERGEFORMATINET </w:instrText>
      </w:r>
      <w:r>
        <w:fldChar w:fldCharType="separate"/>
      </w:r>
      <w:r>
        <w:drawing>
          <wp:inline distT="0" distB="0" distL="114300" distR="114300">
            <wp:extent cx="5819140" cy="6257290"/>
            <wp:effectExtent l="0" t="0" r="10160" b="10160"/>
            <wp:docPr id="2" name="图片 1" descr="wps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D"/>
                    <pic:cNvPicPr>
                      <a:picLocks noChangeAspect="1"/>
                    </pic:cNvPicPr>
                  </pic:nvPicPr>
                  <pic:blipFill>
                    <a:blip r:embed="rId4"/>
                    <a:stretch>
                      <a:fillRect/>
                    </a:stretch>
                  </pic:blipFill>
                  <pic:spPr>
                    <a:xfrm>
                      <a:off x="0" y="0"/>
                      <a:ext cx="5819140" cy="6257290"/>
                    </a:xfrm>
                    <a:prstGeom prst="rect">
                      <a:avLst/>
                    </a:prstGeom>
                    <a:noFill/>
                    <a:ln>
                      <a:noFill/>
                    </a:ln>
                  </pic:spPr>
                </pic:pic>
              </a:graphicData>
            </a:graphic>
          </wp:inline>
        </w:drawing>
      </w:r>
      <w:r>
        <w:fldChar w:fldCharType="end"/>
      </w:r>
    </w:p>
    <w:p>
      <w:pPr>
        <w:spacing w:line="590" w:lineRule="exact"/>
        <w:rPr>
          <w:rFonts w:hint="eastAsia" w:ascii="仿宋_GB2312" w:hAnsi="Calibri"/>
          <w:color w:val="000000"/>
        </w:rPr>
      </w:pPr>
    </w:p>
    <w:p>
      <w:pPr>
        <w:spacing w:line="590" w:lineRule="exact"/>
        <w:rPr>
          <w:rFonts w:hint="eastAsia" w:ascii="仿宋_GB2312" w:hAnsi="Calibri"/>
          <w:color w:val="000000"/>
        </w:rPr>
      </w:pPr>
    </w:p>
    <w:p>
      <w:pPr>
        <w:spacing w:line="590" w:lineRule="exact"/>
        <w:rPr>
          <w:rFonts w:hint="eastAsia" w:ascii="仿宋_GB2312" w:hAnsi="Calibri"/>
          <w:color w:val="000000"/>
        </w:rPr>
      </w:pPr>
    </w:p>
    <w:p>
      <w:pPr>
        <w:spacing w:line="590" w:lineRule="exact"/>
        <w:rPr>
          <w:rFonts w:hint="eastAsia" w:ascii="仿宋_GB2312" w:hAnsi="Calibri"/>
          <w:color w:val="000000"/>
        </w:rPr>
      </w:pPr>
    </w:p>
    <w:p>
      <w:pPr>
        <w:spacing w:line="590" w:lineRule="exact"/>
        <w:rPr>
          <w:rFonts w:hint="eastAsia" w:ascii="仿宋_GB2312" w:hAnsi="Calibri"/>
          <w:color w:val="000000"/>
        </w:rPr>
      </w:pPr>
      <w:r>
        <w:drawing>
          <wp:anchor distT="0" distB="0" distL="114300" distR="114300" simplePos="0" relativeHeight="251658240" behindDoc="0" locked="0" layoutInCell="1" allowOverlap="1">
            <wp:simplePos x="0" y="0"/>
            <wp:positionH relativeFrom="column">
              <wp:posOffset>127635</wp:posOffset>
            </wp:positionH>
            <wp:positionV relativeFrom="paragraph">
              <wp:posOffset>0</wp:posOffset>
            </wp:positionV>
            <wp:extent cx="5895340" cy="5293995"/>
            <wp:effectExtent l="0" t="0" r="10160" b="190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r:link="rId6"/>
                    <a:stretch>
                      <a:fillRect/>
                    </a:stretch>
                  </pic:blipFill>
                  <pic:spPr>
                    <a:xfrm>
                      <a:off x="0" y="0"/>
                      <a:ext cx="5895340" cy="5293995"/>
                    </a:xfrm>
                    <a:prstGeom prst="rect">
                      <a:avLst/>
                    </a:prstGeom>
                    <a:noFill/>
                    <a:ln>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602FC"/>
    <w:rsid w:val="0866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file:///C:\DOCUME~1\ADMINI~1\LOCALS~1\Temp\ksohtml\wps1E.tmp.png"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2019-09-23T06:58:00Z</dcterms:created>
  <dc:creator>子焉</dc:creator>
  <cp:lastModifiedBy>子焉</cp:lastModifiedBy>
  <dcterms:modified xsi:type="dcterms:W3CDTF">2019-09-23T06:58:46Z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